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446DFD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446DFD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446DFD">
        <w:rPr>
          <w:rFonts w:ascii="Century" w:hAnsi="Century"/>
          <w:b/>
          <w:sz w:val="24"/>
          <w:szCs w:val="24"/>
        </w:rPr>
        <w:t>Купецькій Ганні Степанівні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446DFD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446DFD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446DFD">
        <w:rPr>
          <w:rFonts w:ascii="Century" w:hAnsi="Century"/>
          <w:sz w:val="24"/>
          <w:szCs w:val="24"/>
        </w:rPr>
        <w:t>Купецькій Ганні Степанівні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446DFD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446DFD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446DFD">
        <w:rPr>
          <w:rFonts w:ascii="Century" w:hAnsi="Century"/>
          <w:bCs/>
          <w:sz w:val="24"/>
          <w:szCs w:val="24"/>
        </w:rPr>
        <w:t>Купецькій Ганні Степанівні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446DF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446DFD">
        <w:rPr>
          <w:rFonts w:ascii="Century" w:hAnsi="Century"/>
          <w:bCs/>
          <w:sz w:val="24"/>
          <w:szCs w:val="24"/>
        </w:rPr>
        <w:t>1,11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446DFD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446DFD">
        <w:rPr>
          <w:rFonts w:ascii="Century" w:hAnsi="Century"/>
          <w:bCs/>
          <w:sz w:val="24"/>
          <w:szCs w:val="24"/>
        </w:rPr>
        <w:t>Купецькій Ганні Степанівні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446DF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446DFD">
        <w:rPr>
          <w:rFonts w:ascii="Century" w:hAnsi="Century"/>
          <w:bCs/>
          <w:sz w:val="24"/>
          <w:szCs w:val="24"/>
        </w:rPr>
        <w:t>1,11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446DFD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DFD" w:rsidRDefault="00446DFD" w:rsidP="00381483">
      <w:pPr>
        <w:spacing w:after="0" w:line="240" w:lineRule="auto"/>
      </w:pPr>
      <w:r>
        <w:separator/>
      </w:r>
    </w:p>
  </w:endnote>
  <w:endnote w:type="continuationSeparator" w:id="0">
    <w:p w:rsidR="00446DFD" w:rsidRDefault="00446DF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DFD" w:rsidRDefault="00446DFD" w:rsidP="00381483">
      <w:pPr>
        <w:spacing w:after="0" w:line="240" w:lineRule="auto"/>
      </w:pPr>
      <w:r>
        <w:separator/>
      </w:r>
    </w:p>
  </w:footnote>
  <w:footnote w:type="continuationSeparator" w:id="0">
    <w:p w:rsidR="00446DFD" w:rsidRDefault="00446DF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46DFD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1612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